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1400"/>
      </w:pPr>
      <w:r>
        <w:rPr>
          <w:rFonts w:ascii="Calibri" w:cs="Calibri" w:eastAsia="Calibri" w:hAnsi="Calibri"/>
          <w:b/>
          <w:bCs/>
          <w:color w:val="0B2447"/>
          <w:spacing w:val="40"/>
          <w:sz w:val="64"/>
          <w:szCs w:val="64"/>
        </w:rPr>
        <w:t xml:space="preserve">THE CONNECT</w:t>
      </w:r>
    </w:p>
    <w:p>
      <w:pPr>
        <w:spacing w:after="240"/>
      </w:pPr>
      <w:r>
        <w:rPr>
          <w:rFonts w:ascii="Calibri" w:cs="Calibri" w:eastAsia="Calibri" w:hAnsi="Calibri"/>
          <w:color w:val="1D6FE0"/>
          <w:sz w:val="28"/>
          <w:szCs w:val="28"/>
        </w:rPr>
        <w:t xml:space="preserve">by CEFA</w:t>
      </w:r>
    </w:p>
    <w:p>
      <w:pPr>
        <w:spacing w:after="80"/>
      </w:pPr>
      <w:r>
        <w:rPr>
          <w:rFonts w:ascii="Calibri" w:cs="Calibri" w:eastAsia="Calibri" w:hAnsi="Calibri"/>
          <w:b/>
          <w:bCs/>
          <w:color w:val="1A2436"/>
          <w:sz w:val="34"/>
          <w:szCs w:val="34"/>
        </w:rPr>
        <w:t xml:space="preserve">Demo Brochure &amp; Walkthrough Guide</w:t>
      </w:r>
    </w:p>
    <w:p>
      <w:pPr>
        <w:spacing w:after="400"/>
      </w:pPr>
      <w:r>
        <w:rPr>
          <w:rFonts w:ascii="Calibri" w:cs="Calibri" w:eastAsia="Calibri" w:hAnsi="Calibri"/>
          <w:i/>
          <w:iCs/>
          <w:color w:val="5A6B82"/>
          <w:sz w:val="22"/>
          <w:szCs w:val="22"/>
        </w:rPr>
        <w:t xml:space="preserve">The institutional intelligence layer where capital, procurement, and sovereign risk converge.</w:t>
      </w:r>
    </w:p>
    <w:p>
      <w:r>
        <w:rPr>
          <w:rFonts w:ascii="Calibri" w:cs="Calibri" w:eastAsia="Calibri" w:hAnsi="Calibri"/>
          <w:b/>
          <w:bCs/>
          <w:color w:val="1D6FE0"/>
          <w:sz w:val="22"/>
          <w:szCs w:val="22"/>
        </w:rPr>
        <w:t xml:space="preserve">connect.thecefa.org</w:t>
      </w:r>
    </w:p>
    <w:p>
      <w:pPr>
        <w:spacing w:before="60"/>
      </w:pPr>
      <w:r>
        <w:rPr>
          <w:rFonts w:ascii="Calibri" w:cs="Calibri" w:eastAsia="Calibri" w:hAnsi="Calibri"/>
          <w:color w:val="5A6B82"/>
          <w:sz w:val="19"/>
          <w:szCs w:val="19"/>
        </w:rPr>
        <w:t xml:space="preserve">Platform overview · All 23 modules · Corporate &amp; Government/MDB demo tracks</w:t>
      </w:r>
    </w:p>
    <w:p>
      <w:r>
        <w:br w:type="page"/>
      </w:r>
    </w:p>
    <w:p>
      <w:pPr>
        <w:spacing w:after="40" w:before="260"/>
      </w:pPr>
      <w:r>
        <w:rPr>
          <w:rFonts w:ascii="Calibri" w:cs="Calibri" w:eastAsia="Calibri" w:hAnsi="Calibri"/>
          <w:b/>
          <w:bCs/>
          <w:color w:val="1D6FE0"/>
          <w:spacing w:val="30"/>
          <w:sz w:val="17"/>
          <w:szCs w:val="17"/>
        </w:rPr>
        <w:t xml:space="preserve">HOW TO USE THIS GUIDE</w:t>
      </w:r>
    </w:p>
    <w:p>
      <w:pPr>
        <w:spacing w:after="120"/>
      </w:pPr>
      <w:r>
        <w:rPr>
          <w:rFonts w:ascii="Calibri" w:cs="Calibri" w:eastAsia="Calibri" w:hAnsi="Calibri"/>
          <w:b/>
          <w:bCs/>
          <w:color w:val="0B2447"/>
          <w:sz w:val="30"/>
          <w:szCs w:val="30"/>
        </w:rPr>
        <w:t xml:space="preserve">Run this as a live demo</w:t>
      </w:r>
    </w:p>
    <w:p>
      <w:pPr>
        <w:spacing w:after="100"/>
      </w:pPr>
      <w:r>
        <w:rPr>
          <w:rFonts w:ascii="Calibri" w:cs="Calibri" w:eastAsia="Calibri" w:hAnsi="Calibri"/>
          <w:color w:val="1A2436"/>
          <w:sz w:val="21"/>
          <w:szCs w:val="21"/>
        </w:rPr>
        <w:t xml:space="preserve">This brochure has three parts: a 5-minute overview to present to everyone, a reference for all 23 modules, and two step-by-step click paths. Present the overview to all, then run only the track that matches the prospect — a construction firm and a development bank need opposite demos.</w:t>
      </w:r>
    </w:p>
    <w:p>
      <w:pPr>
        <w:spacing w:after="40" w:before="260"/>
      </w:pPr>
      <w:r>
        <w:rPr>
          <w:rFonts w:ascii="Calibri" w:cs="Calibri" w:eastAsia="Calibri" w:hAnsi="Calibri"/>
          <w:b/>
          <w:bCs/>
          <w:color w:val="1D6FE0"/>
          <w:spacing w:val="30"/>
          <w:sz w:val="17"/>
          <w:szCs w:val="17"/>
        </w:rPr>
        <w:t xml:space="preserve">PART 1 — THE 5-MINUTE OVERVIEW</w:t>
      </w:r>
    </w:p>
    <w:p>
      <w:pPr>
        <w:spacing w:after="120"/>
      </w:pPr>
      <w:r>
        <w:rPr>
          <w:rFonts w:ascii="Calibri" w:cs="Calibri" w:eastAsia="Calibri" w:hAnsi="Calibri"/>
          <w:b/>
          <w:bCs/>
          <w:color w:val="0B2447"/>
          <w:sz w:val="30"/>
          <w:szCs w:val="30"/>
        </w:rPr>
        <w:t xml:space="preserve">What is The Connect?</w:t>
      </w:r>
    </w:p>
    <w:p>
      <w:pPr>
        <w:spacing w:after="100"/>
      </w:pPr>
      <w:r>
        <w:rPr>
          <w:rFonts w:ascii="Calibri" w:cs="Calibri" w:eastAsia="Calibri" w:hAnsi="Calibri"/>
          <w:color w:val="1A2436"/>
          <w:sz w:val="21"/>
          <w:szCs w:val="21"/>
        </w:rPr>
        <w:t xml:space="preserve">The Connect is a subscription intelligence platform that follows public capital through its entire life — from the money being approved, to the tender it becomes, to who wins it, to whether the contract was actually delivered. It replaces the stack of terminals, 195 government portals, MDB sites, sanctions lists and country-risk PDFs with one governed, source-attributed system.</w:t>
      </w:r>
    </w:p>
    <w:p>
      <w:pPr>
        <w:spacing w:after="60" w:before="160"/>
      </w:pPr>
      <w:r>
        <w:rPr>
          <w:rFonts w:ascii="Calibri" w:cs="Calibri" w:eastAsia="Calibri" w:hAnsi="Calibri"/>
          <w:b/>
          <w:bCs/>
          <w:color w:val="0B2447"/>
          <w:sz w:val="22"/>
          <w:szCs w:val="22"/>
        </w:rPr>
        <w:t xml:space="preserve">The one idea to land: “The Join”</w:t>
      </w:r>
    </w:p>
    <w:p>
      <w:pPr>
        <w:spacing w:after="100"/>
      </w:pPr>
      <w:r>
        <w:rPr>
          <w:rFonts w:ascii="Calibri" w:cs="Calibri" w:eastAsia="Calibri" w:hAnsi="Calibri"/>
          <w:color w:val="1A2436"/>
          <w:sz w:val="21"/>
          <w:szCs w:val="21"/>
        </w:rPr>
        <w:t xml:space="preserve">Every competitor gives you one silo — just tenders, or just bond data, or just country risk. The Connect links them. On a single screen a tender carries its funder, its country risk, its integrity score, and whether you'll actually get paid.</w:t>
      </w:r>
    </w:p>
    <w:p>
      <w:pPr>
        <w:pBdr>
          <w:left w:val="single" w:color="1D6FE0" w:sz="24" w:space="12"/>
        </w:pBdr>
        <w:shd w:fill="F5F7FA" w:color="F5F7FA" w:val="solid"/>
        <w:spacing w:after="160" w:before="100"/>
      </w:pPr>
      <w:r>
        <w:rPr>
          <w:rFonts w:ascii="Calibri" w:cs="Calibri" w:eastAsia="Calibri" w:hAnsi="Calibri"/>
          <w:i/>
          <w:iCs/>
          <w:color w:val="0B2447"/>
          <w:sz w:val="22"/>
          <w:szCs w:val="22"/>
        </w:rPr>
        <w:t xml:space="preserve">“Other platforms tell you a tender exists. The Connect tells you whether you'll win it and whether you'll get paid — on one screen. That link is the product.”</w:t>
      </w:r>
    </w:p>
    <w:p>
      <w:pPr>
        <w:spacing w:after="60" w:before="160"/>
      </w:pPr>
      <w:r>
        <w:rPr>
          <w:rFonts w:ascii="Calibri" w:cs="Calibri" w:eastAsia="Calibri" w:hAnsi="Calibri"/>
          <w:b/>
          <w:bCs/>
          <w:color w:val="0B2447"/>
          <w:sz w:val="22"/>
          <w:szCs w:val="22"/>
        </w:rPr>
        <w:t xml:space="preserve">Proof points</w:t>
      </w:r>
    </w:p>
    <w:p>
      <w:pPr>
        <w:pStyle w:val="ListParagraph"/>
        <w:numPr>
          <w:ilvl w:val="0"/>
          <w:numId w:val="1"/>
        </w:numPr>
        <w:spacing w:after="60"/>
      </w:pPr>
      <w:r>
        <w:rPr>
          <w:rFonts w:ascii="Calibri" w:cs="Calibri" w:eastAsia="Calibri" w:hAnsi="Calibri"/>
          <w:color w:val="1A2436"/>
          <w:sz w:val="21"/>
          <w:szCs w:val="21"/>
        </w:rPr>
        <w:t xml:space="preserve">47,000+ active procurement notices, +300 every week</w:t>
      </w:r>
    </w:p>
    <w:p>
      <w:pPr>
        <w:pStyle w:val="ListParagraph"/>
        <w:numPr>
          <w:ilvl w:val="0"/>
          <w:numId w:val="1"/>
        </w:numPr>
        <w:spacing w:after="60"/>
      </w:pPr>
      <w:r>
        <w:rPr>
          <w:rFonts w:ascii="Calibri" w:cs="Calibri" w:eastAsia="Calibri" w:hAnsi="Calibri"/>
          <w:color w:val="1A2436"/>
          <w:sz w:val="21"/>
          <w:szCs w:val="21"/>
        </w:rPr>
        <w:t xml:space="preserve">60+ verified institutional sources (World Bank, AfDB, ADB, EBRD, IDB, AIIB, UNGM, EU TED, IMF, BIS, ECB, OFAC…)</w:t>
      </w:r>
    </w:p>
    <w:p>
      <w:pPr>
        <w:pStyle w:val="ListParagraph"/>
        <w:numPr>
          <w:ilvl w:val="0"/>
          <w:numId w:val="1"/>
        </w:numPr>
        <w:spacing w:after="60"/>
      </w:pPr>
      <w:r>
        <w:rPr>
          <w:rFonts w:ascii="Calibri" w:cs="Calibri" w:eastAsia="Calibri" w:hAnsi="Calibri"/>
          <w:color w:val="1A2436"/>
          <w:sz w:val="21"/>
          <w:szCs w:val="21"/>
        </w:rPr>
        <w:t xml:space="preserve">195 countries &amp; jurisdictions, 585 ministries tracked, $2.8T in procurement value tracked</w:t>
      </w:r>
    </w:p>
    <w:p>
      <w:pPr>
        <w:pStyle w:val="ListParagraph"/>
        <w:numPr>
          <w:ilvl w:val="0"/>
          <w:numId w:val="1"/>
        </w:numPr>
        <w:spacing w:after="60"/>
      </w:pPr>
      <w:r>
        <w:rPr>
          <w:rFonts w:ascii="Calibri" w:cs="Calibri" w:eastAsia="Calibri" w:hAnsi="Calibri"/>
          <w:color w:val="1A2436"/>
          <w:sz w:val="21"/>
          <w:szCs w:val="21"/>
        </w:rPr>
        <w:t xml:space="preserve">Every record source-attributed and confidence-scored before it reaches you</w:t>
      </w:r>
    </w:p>
    <w:p>
      <w:pPr>
        <w:spacing w:after="60" w:before="160"/>
      </w:pPr>
      <w:r>
        <w:rPr>
          <w:rFonts w:ascii="Calibri" w:cs="Calibri" w:eastAsia="Calibri" w:hAnsi="Calibri"/>
          <w:b/>
          <w:bCs/>
          <w:color w:val="0B2447"/>
          <w:sz w:val="22"/>
          <w:szCs w:val="22"/>
        </w:rPr>
        <w:t xml:space="preserve">Plans at a glance</w:t>
      </w:r>
    </w:p>
    <w:tbl>
      <w:tblPr>
        <w:tblW w:type="pct" w:w="100%"/>
        <w:tblBorders>
          <w:top w:val="single" w:color="D8DEE9" w:sz="2"/>
          <w:left w:val="single" w:color="D8DEE9" w:sz="2"/>
          <w:bottom w:val="single" w:color="D8DEE9" w:sz="2"/>
          <w:right w:val="single" w:color="D8DEE9" w:sz="2"/>
          <w:insideH w:val="single" w:color="D8DEE9" w:sz="2"/>
          <w:insideV w:val="single" w:color="D8DEE9" w:sz="2"/>
        </w:tblBorders>
      </w:tblPr>
      <w:tblGrid>
        <w:gridCol w:w="100"/>
        <w:gridCol w:w="100"/>
        <w:gridCol w:w="100"/>
        <w:gridCol w:w="100"/>
      </w:tblGrid>
      <w:tr>
        <w:trPr>
          <w:tblHeader/>
        </w:trPr>
        <w:tc>
          <w:tcPr>
            <w:tcW w:type="pct" w:w="20%"/>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Plan</w:t>
            </w:r>
          </w:p>
        </w:tc>
        <w:tc>
          <w:tcPr>
            <w:tcW w:type="pct" w:w="22%"/>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Price</w:t>
            </w:r>
          </w:p>
        </w:tc>
        <w:tc>
          <w:tcPr>
            <w:tcW w:type="pct" w:w="12%"/>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Trial</w:t>
            </w:r>
          </w:p>
        </w:tc>
        <w:tc>
          <w:tcPr>
            <w:tcW w:type="pct" w:w="46%"/>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Who it's for</w:t>
            </w:r>
          </w:p>
        </w:tc>
      </w:tr>
      <w:tr>
        <w:tc>
          <w:tcPr>
            <w:tcW w:type="pct" w:w="2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Individual</w:t>
            </w:r>
          </w:p>
        </w:tc>
        <w:tc>
          <w:tcPr>
            <w:tcW w:type="pct" w:w="22%"/>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$1,095 / year</w:t>
            </w:r>
          </w:p>
        </w:tc>
        <w:tc>
          <w:tcPr>
            <w:tcW w:type="pct" w:w="12%"/>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7 days</w:t>
            </w:r>
          </w:p>
        </w:tc>
        <w:tc>
          <w:tcPr>
            <w:tcW w:type="pct" w:w="4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Solo analysts, consultants, independent bidders</w:t>
            </w:r>
          </w:p>
        </w:tc>
      </w:tr>
      <w:tr>
        <w:tc>
          <w:tcPr>
            <w:tcW w:type="pct" w:w="2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Corporate</w:t>
            </w:r>
          </w:p>
        </w:tc>
        <w:tc>
          <w:tcPr>
            <w:tcW w:type="pct" w:w="22%"/>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$2,295 / year (2 seats)</w:t>
            </w:r>
          </w:p>
        </w:tc>
        <w:tc>
          <w:tcPr>
            <w:tcW w:type="pct" w:w="12%"/>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7 days</w:t>
            </w:r>
          </w:p>
        </w:tc>
        <w:tc>
          <w:tcPr>
            <w:tcW w:type="pct" w:w="4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Firms bidding, teaming &amp; financing across borders</w:t>
            </w:r>
          </w:p>
        </w:tc>
      </w:tr>
      <w:tr>
        <w:tc>
          <w:tcPr>
            <w:tcW w:type="pct" w:w="2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Government / MDB</w:t>
            </w:r>
          </w:p>
        </w:tc>
        <w:tc>
          <w:tcPr>
            <w:tcW w:type="pct" w:w="22%"/>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$595 / seat / year</w:t>
            </w:r>
          </w:p>
        </w:tc>
        <w:tc>
          <w:tcPr>
            <w:tcW w:type="pct" w:w="12%"/>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60 days</w:t>
            </w:r>
          </w:p>
        </w:tc>
        <w:tc>
          <w:tcPr>
            <w:tcW w:type="pct" w:w="4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Ministries, procurement authorities, development banks</w:t>
            </w:r>
          </w:p>
        </w:tc>
      </w:tr>
    </w:tbl>
    <w:p>
      <w:r>
        <w:br w:type="page"/>
      </w:r>
    </w:p>
    <w:p>
      <w:pPr>
        <w:spacing w:after="40" w:before="260"/>
      </w:pPr>
      <w:r>
        <w:rPr>
          <w:rFonts w:ascii="Calibri" w:cs="Calibri" w:eastAsia="Calibri" w:hAnsi="Calibri"/>
          <w:b/>
          <w:bCs/>
          <w:color w:val="1D6FE0"/>
          <w:spacing w:val="30"/>
          <w:sz w:val="17"/>
          <w:szCs w:val="17"/>
        </w:rPr>
        <w:t xml:space="preserve">PART 2 — THE 23 MODULES</w:t>
      </w:r>
    </w:p>
    <w:p>
      <w:pPr>
        <w:spacing w:after="120"/>
      </w:pPr>
      <w:r>
        <w:rPr>
          <w:rFonts w:ascii="Calibri" w:cs="Calibri" w:eastAsia="Calibri" w:hAnsi="Calibri"/>
          <w:b/>
          <w:bCs/>
          <w:color w:val="0B2447"/>
          <w:sz w:val="30"/>
          <w:szCs w:val="30"/>
        </w:rPr>
        <w:t xml:space="preserve">Every capability, in plain language</w:t>
      </w:r>
    </w:p>
    <w:p>
      <w:pPr>
        <w:spacing w:after="100"/>
      </w:pPr>
      <w:r>
        <w:rPr>
          <w:rFonts w:ascii="Calibri" w:cs="Calibri" w:eastAsia="Calibri" w:hAnsi="Calibri"/>
          <w:color w:val="5A6B82"/>
          <w:sz w:val="20"/>
          <w:szCs w:val="20"/>
        </w:rPr>
        <w:t xml:space="preserve">You won't click all 23 in a demo — pick the 5–6 that matter to the prospect. This is the reference for what each one is.</w:t>
      </w:r>
    </w:p>
    <w:tbl>
      <w:tblPr>
        <w:tblW w:type="pct" w:w="100%"/>
        <w:tblBorders>
          <w:top w:val="single" w:color="D8DEE9" w:sz="2"/>
          <w:left w:val="single" w:color="D8DEE9" w:sz="2"/>
          <w:bottom w:val="single" w:color="D8DEE9" w:sz="2"/>
          <w:right w:val="single" w:color="D8DEE9" w:sz="2"/>
          <w:insideH w:val="single" w:color="D8DEE9" w:sz="2"/>
          <w:insideV w:val="single" w:color="D8DEE9" w:sz="2"/>
        </w:tblBorders>
      </w:tblPr>
      <w:tblGrid>
        <w:gridCol w:w="100"/>
        <w:gridCol w:w="100"/>
        <w:gridCol w:w="100"/>
      </w:tblGrid>
      <w:tr>
        <w:trPr>
          <w:tblHeader/>
        </w:trPr>
        <w:tc>
          <w:tcPr>
            <w:tcW w:type="pct" w:w="6%"/>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w:t>
            </w:r>
          </w:p>
        </w:tc>
        <w:tc>
          <w:tcPr>
            <w:tcW w:type="pct" w:w="30%"/>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Module</w:t>
            </w:r>
          </w:p>
        </w:tc>
        <w:tc>
          <w:tcPr>
            <w:tcW w:type="pct" w:w="64%"/>
            <w:shd w:fill="0B2447" w:color="0B2447" w:val="solid"/>
            <w:tcMar>
              <w:top w:type="dxa" w:w="80"/>
              <w:left w:type="dxa" w:w="120"/>
              <w:bottom w:type="dxa" w:w="80"/>
              <w:right w:type="dxa" w:w="120"/>
            </w:tcMar>
          </w:tcPr>
          <w:p>
            <w:r>
              <w:rPr>
                <w:rFonts w:ascii="Calibri" w:cs="Calibri" w:eastAsia="Calibri" w:hAnsi="Calibri"/>
                <w:b/>
                <w:bCs/>
                <w:color w:val="FFFFFF"/>
                <w:sz w:val="19"/>
                <w:szCs w:val="19"/>
              </w:rPr>
              <w:t xml:space="preserve">What it is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01</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Procurement Intelligence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RFPs, EOIs, tenders &amp; awards from 60+ official sources, with AI bid matching to your firm profile.</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02</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Procurement Integrity — PIRS</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An explainable 0–100 integrity score per notice — short windows, value outliers, single-bidder &amp; repeat-winner flags.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03</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Award Intelligence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Real contract winners and values with buyer→supplier concentration — see who keeps winning from whom.</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04</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Sovereign Bond Tracker</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Live 10-year yields, 5-year CDS, ratings and issuances across 195 sovereign markets.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05</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Central Bank Intelligence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Policy rates, reserve adequacy, liquidity events and governor statements for 195 central banks.</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06</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Capital &amp; Finance Intelligence</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Fiscal &amp; debt positions, project-finance pipelines and MDB co-financing — the money behind every tender.</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07</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Country &amp; Risk Intelligence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Factbook-grade profiles for 195 countries with a nine-dimension sovereign risk composite and payment-risk score.</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08</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Foreign Affairs &amp; Trade</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Twelve FA divisions: missions, ministries, treaties, and real-time OFAC/EU/UN sanctions screening.</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09</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Delivery &amp; Project Ops</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Command Center, bid pipeline and project workspaces — opportunity to award to delivery in one place.</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10</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Co-financing &amp; JV Matching</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Find partners, lenders and JV teammates by sector, geography and track record against live tenders.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11</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Autonomous Bid Agent (Corporate)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Set criteria once; the agent monitors every new tender, scores fit and queues the best for your approval.</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12</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AI Bid Studio</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Draft a full response, screen eligibility &amp; documents, polish to the evaluation criteria — with your own AI key.</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13</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AI Bid Evaluation (Gov / MDB)</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For buyers: AI scores every received bid on technical, financial &amp; eligibility criteria.</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14</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Win Intelligence</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Pricing Intel, Competitor Radar and Recompete Radar — from real award data.</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15</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Delivery Truth</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Promised vs. paid vs. timeline — flags overdue and stalled projects where capital isn't flowing.</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16</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Ask AI &amp; Semantic Search</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Search in plain English; semantic matching surfaces 40–60% more relevant opportunities than keywords.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17</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Network, Pages &amp; White-Label API</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Member profiles, groups, official institution pages, and a white-label data API.</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18</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Standard Procurement Documents</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Publish WB / IADB-aligned tenders from compliant templates — criteria, thresholds &amp; anti-corruption clauses built in.</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19</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Structured Bid Evaluation</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Bidders respond in required forms; AI produces a ranked, auditable scoresheet defensible against protest.</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20</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Sanctions &amp; Debarment Screening</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Screen bidders &amp; beneficial owners vs OFAC, UN, UK OFSI and World Bank cross-debarment, with an audit trail.</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21</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Compliance Matrix &amp; Beneficial Ownership</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Flags missing mandatory forms before submission and captures the real people behind each bidding firm.</w:t>
            </w:r>
          </w:p>
        </w:tc>
      </w:tr>
      <w:tr>
        <w:tc>
          <w:tcPr>
            <w:tcW w:type="pct" w:w="6%"/>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22</w:t>
            </w:r>
          </w:p>
        </w:tc>
        <w:tc>
          <w:tcPr>
            <w:tcW w:type="pct" w:w="30%"/>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Government Command Center</w:t>
            </w:r>
          </w:p>
        </w:tc>
        <w:tc>
          <w:tcPr>
            <w:tcW w:type="pct" w:w="64%"/>
            <w:shd w:fill="F5F7FA" w:color="F5F7FA" w:val="solid"/>
            <w:tcMar>
              <w:top w:type="dxa" w:w="80"/>
              <w:left w:type="dxa" w:w="120"/>
              <w:bottom w:type="dxa" w:w="80"/>
              <w:right w:type="dxa" w:w="120"/>
            </w:tcMar>
          </w:tcPr>
          <w:p>
            <w:r>
              <w:rPr>
                <w:rFonts w:ascii="Calibri" w:cs="Calibri" w:eastAsia="Calibri" w:hAnsi="Calibri"/>
                <w:color w:val="1A2436"/>
                <w:sz w:val="19"/>
                <w:szCs w:val="19"/>
              </w:rPr>
              <w:t xml:space="preserve">Buyer-native workspace: My Notices, bids received, portfolio disbursement, single-bidder &amp; integrity flags.</w:t>
            </w:r>
          </w:p>
        </w:tc>
      </w:tr>
      <w:tr>
        <w:tc>
          <w:tcPr>
            <w:tcW w:type="pct" w:w="6%"/>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23</w:t>
            </w:r>
          </w:p>
        </w:tc>
        <w:tc>
          <w:tcPr>
            <w:tcW w:type="pct" w:w="30%"/>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Supplier &amp; Manufacturer Intelligence (Corporate)</w:t>
            </w:r>
          </w:p>
        </w:tc>
        <w:tc>
          <w:tcPr>
            <w:tcW w:type="pct" w:w="64%"/>
            <w:shd w:fill="FFFFFF" w:color="FFFFFF" w:val="solid"/>
            <w:tcMar>
              <w:top w:type="dxa" w:w="80"/>
              <w:left w:type="dxa" w:w="120"/>
              <w:bottom w:type="dxa" w:w="80"/>
              <w:right w:type="dxa" w:w="120"/>
            </w:tcMar>
          </w:tcPr>
          <w:p>
            <w:r>
              <w:rPr>
                <w:rFonts w:ascii="Calibri" w:cs="Calibri" w:eastAsia="Calibri" w:hAnsi="Calibri"/>
                <w:color w:val="1A2436"/>
                <w:sz w:val="19"/>
                <w:szCs w:val="19"/>
              </w:rPr>
              <w:t xml:space="preserve">Discover &amp; verify suppliers worldwide — 5-level verification ladder, trust scores, contact details, trade activity and ownership, with live discovery across GLEIF, OpenCorporates and openFDA.</w:t>
            </w:r>
          </w:p>
        </w:tc>
      </w:tr>
    </w:tbl>
    <w:p>
      <w:r>
        <w:br w:type="page"/>
      </w:r>
    </w:p>
    <w:p>
      <w:pPr>
        <w:spacing w:after="40" w:before="260"/>
      </w:pPr>
      <w:r>
        <w:rPr>
          <w:rFonts w:ascii="Calibri" w:cs="Calibri" w:eastAsia="Calibri" w:hAnsi="Calibri"/>
          <w:b/>
          <w:bCs/>
          <w:color w:val="1D6FE0"/>
          <w:spacing w:val="30"/>
          <w:sz w:val="17"/>
          <w:szCs w:val="17"/>
        </w:rPr>
        <w:t xml:space="preserve">PART 3 — TRACK A</w:t>
      </w:r>
    </w:p>
    <w:p>
      <w:pPr>
        <w:spacing w:after="120"/>
      </w:pPr>
      <w:r>
        <w:rPr>
          <w:rFonts w:ascii="Calibri" w:cs="Calibri" w:eastAsia="Calibri" w:hAnsi="Calibri"/>
          <w:b/>
          <w:bCs/>
          <w:color w:val="0B2447"/>
          <w:sz w:val="30"/>
          <w:szCs w:val="30"/>
        </w:rPr>
        <w:t xml:space="preserve">Corporate (bidder) demo</w:t>
      </w:r>
    </w:p>
    <w:p>
      <w:pPr>
        <w:spacing w:after="100"/>
      </w:pPr>
      <w:r>
        <w:rPr>
          <w:rFonts w:ascii="Calibri" w:cs="Calibri" w:eastAsia="Calibri" w:hAnsi="Calibri"/>
          <w:color w:val="5A6B82"/>
          <w:sz w:val="20"/>
          <w:szCs w:val="20"/>
        </w:rPr>
        <w:t xml:space="preserve">For contractors, engineering/energy/infrastructure firms, consultancies and suppliers bidding on international tenders.</w:t>
      </w:r>
    </w:p>
    <w:p>
      <w:pPr>
        <w:spacing w:after="100"/>
      </w:pPr>
      <w:r>
        <w:rPr>
          <w:rFonts w:ascii="Calibri" w:cs="Calibri" w:eastAsia="Calibri" w:hAnsi="Calibri"/>
          <w:b/>
          <w:bCs/>
          <w:color w:val="0B2447"/>
          <w:sz w:val="21"/>
          <w:szCs w:val="21"/>
        </w:rPr>
        <w:t xml:space="preserve">Narrative:  </w:t>
      </w:r>
      <w:r>
        <w:rPr>
          <w:rFonts w:ascii="Calibri" w:cs="Calibri" w:eastAsia="Calibri" w:hAnsi="Calibri"/>
          <w:i/>
          <w:iCs/>
          <w:color w:val="1A2436"/>
          <w:sz w:val="21"/>
          <w:szCs w:val="21"/>
        </w:rPr>
        <w:t xml:space="preserve">Find the right tender → know if it's clean &amp; winnable → draft the bid → track competitors and get paid.</w:t>
      </w:r>
    </w:p>
    <w:p>
      <w:pPr>
        <w:spacing w:after="90"/>
      </w:pPr>
      <w:r>
        <w:rPr>
          <w:rFonts w:ascii="Calibri" w:cs="Calibri" w:eastAsia="Calibri" w:hAnsi="Calibri"/>
          <w:b/>
          <w:bCs/>
          <w:color w:val="1D6FE0"/>
          <w:sz w:val="21"/>
          <w:szCs w:val="21"/>
        </w:rPr>
        <w:t xml:space="preserve">1.  </w:t>
      </w:r>
      <w:r>
        <w:rPr>
          <w:rFonts w:ascii="Calibri" w:cs="Calibri" w:eastAsia="Calibri" w:hAnsi="Calibri"/>
          <w:b/>
          <w:bCs/>
          <w:color w:val="1A2436"/>
          <w:sz w:val="21"/>
          <w:szCs w:val="21"/>
        </w:rPr>
        <w:t xml:space="preserve">Start on the public site — </w:t>
      </w:r>
      <w:r>
        <w:rPr>
          <w:rFonts w:ascii="Calibri" w:cs="Calibri" w:eastAsia="Calibri" w:hAnsi="Calibri"/>
          <w:color w:val="1A2436"/>
          <w:sz w:val="21"/>
          <w:szCs w:val="21"/>
        </w:rPr>
        <w:t xml:space="preserve">Open connect.thecefa.org, land on “The Join” and the stat band, deliver the one-liner, then Login into /app.</w:t>
      </w:r>
    </w:p>
    <w:p>
      <w:pPr>
        <w:spacing w:after="90"/>
      </w:pPr>
      <w:r>
        <w:rPr>
          <w:rFonts w:ascii="Calibri" w:cs="Calibri" w:eastAsia="Calibri" w:hAnsi="Calibri"/>
          <w:b/>
          <w:bCs/>
          <w:color w:val="1D6FE0"/>
          <w:sz w:val="21"/>
          <w:szCs w:val="21"/>
        </w:rPr>
        <w:t xml:space="preserve">2.  </w:t>
      </w:r>
      <w:r>
        <w:rPr>
          <w:rFonts w:ascii="Calibri" w:cs="Calibri" w:eastAsia="Calibri" w:hAnsi="Calibri"/>
          <w:b/>
          <w:bCs/>
          <w:color w:val="1A2436"/>
          <w:sz w:val="21"/>
          <w:szCs w:val="21"/>
        </w:rPr>
        <w:t xml:space="preserve">The dashboard — </w:t>
      </w:r>
      <w:r>
        <w:rPr>
          <w:rFonts w:ascii="Calibri" w:cs="Calibri" w:eastAsia="Calibri" w:hAnsi="Calibri"/>
          <w:color w:val="1A2436"/>
          <w:sz w:val="21"/>
          <w:szCs w:val="21"/>
        </w:rPr>
        <w:t xml:space="preserve">KPI row (Active Tenders, Pipeline, Closing 7d), the Bid Agent matched-tenders strip, and your personalized Watchlist.</w:t>
      </w:r>
    </w:p>
    <w:p>
      <w:pPr>
        <w:spacing w:after="90"/>
      </w:pPr>
      <w:r>
        <w:rPr>
          <w:rFonts w:ascii="Calibri" w:cs="Calibri" w:eastAsia="Calibri" w:hAnsi="Calibri"/>
          <w:b/>
          <w:bCs/>
          <w:color w:val="1D6FE0"/>
          <w:sz w:val="21"/>
          <w:szCs w:val="21"/>
        </w:rPr>
        <w:t xml:space="preserve">3.  </w:t>
      </w:r>
      <w:r>
        <w:rPr>
          <w:rFonts w:ascii="Calibri" w:cs="Calibri" w:eastAsia="Calibri" w:hAnsi="Calibri"/>
          <w:b/>
          <w:bCs/>
          <w:color w:val="1A2436"/>
          <w:sz w:val="21"/>
          <w:szCs w:val="21"/>
        </w:rPr>
        <w:t xml:space="preserve">Find an opportunity (01, 16) — </w:t>
      </w:r>
      <w:r>
        <w:rPr>
          <w:rFonts w:ascii="Calibri" w:cs="Calibri" w:eastAsia="Calibri" w:hAnsi="Calibri"/>
          <w:color w:val="1A2436"/>
          <w:sz w:val="21"/>
          <w:szCs w:val="21"/>
        </w:rPr>
        <w:t xml:space="preserve">Open Notices, use Ask-AI search: “road and highway tenders in East Africa under $300M.” Open one result.</w:t>
      </w:r>
    </w:p>
    <w:p>
      <w:pPr>
        <w:spacing w:after="90"/>
      </w:pPr>
      <w:r>
        <w:rPr>
          <w:rFonts w:ascii="Calibri" w:cs="Calibri" w:eastAsia="Calibri" w:hAnsi="Calibri"/>
          <w:b/>
          <w:bCs/>
          <w:color w:val="1D6FE0"/>
          <w:sz w:val="21"/>
          <w:szCs w:val="21"/>
        </w:rPr>
        <w:t xml:space="preserve">4.  </w:t>
      </w:r>
      <w:r>
        <w:rPr>
          <w:rFonts w:ascii="Calibri" w:cs="Calibri" w:eastAsia="Calibri" w:hAnsi="Calibri"/>
          <w:b/>
          <w:bCs/>
          <w:color w:val="1A2436"/>
          <w:sz w:val="21"/>
          <w:szCs w:val="21"/>
        </w:rPr>
        <w:t xml:space="preserve">Assess it on one screen (02, 07, 04, 14) — </w:t>
      </w:r>
      <w:r>
        <w:rPr>
          <w:rFonts w:ascii="Calibri" w:cs="Calibri" w:eastAsia="Calibri" w:hAnsi="Calibri"/>
          <w:color w:val="1A2436"/>
          <w:sz w:val="21"/>
          <w:szCs w:val="21"/>
        </w:rPr>
        <w:t xml:space="preserve">PIRS integrity, country &amp; payment risk, win probability &amp; est. bidders, and the pricing band from historical award ratios.</w:t>
      </w:r>
    </w:p>
    <w:p>
      <w:pPr>
        <w:spacing w:after="90"/>
      </w:pPr>
      <w:r>
        <w:rPr>
          <w:rFonts w:ascii="Calibri" w:cs="Calibri" w:eastAsia="Calibri" w:hAnsi="Calibri"/>
          <w:b/>
          <w:bCs/>
          <w:color w:val="1D6FE0"/>
          <w:sz w:val="21"/>
          <w:szCs w:val="21"/>
        </w:rPr>
        <w:t xml:space="preserve">5.  </w:t>
      </w:r>
      <w:r>
        <w:rPr>
          <w:rFonts w:ascii="Calibri" w:cs="Calibri" w:eastAsia="Calibri" w:hAnsi="Calibri"/>
          <w:b/>
          <w:bCs/>
          <w:color w:val="1A2436"/>
          <w:sz w:val="21"/>
          <w:szCs w:val="21"/>
        </w:rPr>
        <w:t xml:space="preserve">Draft the bid (12) — </w:t>
      </w:r>
      <w:r>
        <w:rPr>
          <w:rFonts w:ascii="Calibri" w:cs="Calibri" w:eastAsia="Calibri" w:hAnsi="Calibri"/>
          <w:color w:val="1A2436"/>
          <w:sz w:val="21"/>
          <w:szCs w:val="21"/>
        </w:rPr>
        <w:t xml:space="preserve">AI Bid Studio: eligibility &amp; document screening, then drafting to the evaluation criteria with your own AI key.</w:t>
      </w:r>
    </w:p>
    <w:p>
      <w:pPr>
        <w:spacing w:after="90"/>
      </w:pPr>
      <w:r>
        <w:rPr>
          <w:rFonts w:ascii="Calibri" w:cs="Calibri" w:eastAsia="Calibri" w:hAnsi="Calibri"/>
          <w:b/>
          <w:bCs/>
          <w:color w:val="1D6FE0"/>
          <w:sz w:val="21"/>
          <w:szCs w:val="21"/>
        </w:rPr>
        <w:t xml:space="preserve">6.  </w:t>
      </w:r>
      <w:r>
        <w:rPr>
          <w:rFonts w:ascii="Calibri" w:cs="Calibri" w:eastAsia="Calibri" w:hAnsi="Calibri"/>
          <w:b/>
          <w:bCs/>
          <w:color w:val="1A2436"/>
          <w:sz w:val="21"/>
          <w:szCs w:val="21"/>
        </w:rPr>
        <w:t xml:space="preserve">Work the market (14, 03) — </w:t>
      </w:r>
      <w:r>
        <w:rPr>
          <w:rFonts w:ascii="Calibri" w:cs="Calibri" w:eastAsia="Calibri" w:hAnsi="Calibri"/>
          <w:color w:val="1A2436"/>
          <w:sz w:val="21"/>
          <w:szCs w:val="21"/>
        </w:rPr>
        <w:t xml:space="preserve">Win Intelligence: Competitor Radar &amp; Recompete Radar. Award Intelligence: buyer→supplier concentration.</w:t>
      </w:r>
    </w:p>
    <w:p>
      <w:pPr>
        <w:spacing w:after="90"/>
      </w:pPr>
      <w:r>
        <w:rPr>
          <w:rFonts w:ascii="Calibri" w:cs="Calibri" w:eastAsia="Calibri" w:hAnsi="Calibri"/>
          <w:b/>
          <w:bCs/>
          <w:color w:val="1D6FE0"/>
          <w:sz w:val="21"/>
          <w:szCs w:val="21"/>
        </w:rPr>
        <w:t xml:space="preserve">7.  </w:t>
      </w:r>
      <w:r>
        <w:rPr>
          <w:rFonts w:ascii="Calibri" w:cs="Calibri" w:eastAsia="Calibri" w:hAnsi="Calibri"/>
          <w:b/>
          <w:bCs/>
          <w:color w:val="1A2436"/>
          <w:sz w:val="21"/>
          <w:szCs w:val="21"/>
        </w:rPr>
        <w:t xml:space="preserve">Team, pipeline &amp; partners (09, 10) — </w:t>
      </w:r>
      <w:r>
        <w:rPr>
          <w:rFonts w:ascii="Calibri" w:cs="Calibri" w:eastAsia="Calibri" w:hAnsi="Calibri"/>
          <w:color w:val="1A2436"/>
          <w:sz w:val="21"/>
          <w:szCs w:val="21"/>
        </w:rPr>
        <w:t xml:space="preserve">Shared team workspace and bid pipeline; Co-financing &amp; JV Matching for teaming on large tenders.</w:t>
      </w:r>
    </w:p>
    <w:p>
      <w:pPr>
        <w:spacing w:after="90"/>
      </w:pPr>
      <w:r>
        <w:rPr>
          <w:rFonts w:ascii="Calibri" w:cs="Calibri" w:eastAsia="Calibri" w:hAnsi="Calibri"/>
          <w:b/>
          <w:bCs/>
          <w:color w:val="1D6FE0"/>
          <w:sz w:val="21"/>
          <w:szCs w:val="21"/>
        </w:rPr>
        <w:t xml:space="preserve">8.  </w:t>
      </w:r>
      <w:r>
        <w:rPr>
          <w:rFonts w:ascii="Calibri" w:cs="Calibri" w:eastAsia="Calibri" w:hAnsi="Calibri"/>
          <w:b/>
          <w:bCs/>
          <w:color w:val="1A2436"/>
          <w:sz w:val="21"/>
          <w:szCs w:val="21"/>
        </w:rPr>
        <w:t xml:space="preserve">Find &amp; verify suppliers (23) — </w:t>
      </w:r>
      <w:r>
        <w:rPr>
          <w:rFonts w:ascii="Calibri" w:cs="Calibri" w:eastAsia="Calibri" w:hAnsi="Calibri"/>
          <w:color w:val="1A2436"/>
          <w:sz w:val="21"/>
          <w:szCs w:val="21"/>
        </w:rPr>
        <w:t xml:space="preserve">Suppliers: search by sector/country/verification, open a profile (trust score, verification ladder, contacts), verify live against GLEIF, discover new suppliers. From a project, use Find a supplier.</w:t>
      </w:r>
    </w:p>
    <w:p>
      <w:pPr>
        <w:spacing w:after="90"/>
      </w:pPr>
      <w:r>
        <w:rPr>
          <w:rFonts w:ascii="Calibri" w:cs="Calibri" w:eastAsia="Calibri" w:hAnsi="Calibri"/>
          <w:b/>
          <w:bCs/>
          <w:color w:val="1D6FE0"/>
          <w:sz w:val="21"/>
          <w:szCs w:val="21"/>
        </w:rPr>
        <w:t xml:space="preserve">9.  </w:t>
      </w:r>
      <w:r>
        <w:rPr>
          <w:rFonts w:ascii="Calibri" w:cs="Calibri" w:eastAsia="Calibri" w:hAnsi="Calibri"/>
          <w:b/>
          <w:bCs/>
          <w:color w:val="1A2436"/>
          <w:sz w:val="21"/>
          <w:szCs w:val="21"/>
        </w:rPr>
        <w:t xml:space="preserve">Close — </w:t>
      </w:r>
      <w:r>
        <w:rPr>
          <w:rFonts w:ascii="Calibri" w:cs="Calibri" w:eastAsia="Calibri" w:hAnsi="Calibri"/>
          <w:color w:val="1A2436"/>
          <w:sz w:val="21"/>
          <w:szCs w:val="21"/>
        </w:rPr>
        <w:t xml:space="preserve">Recap the arc; Corporate = $2,295/yr, 2 seats, 7-day free trial, more seats at signup.</w:t>
      </w:r>
    </w:p>
    <w:p>
      <w:pPr>
        <w:spacing w:after="100"/>
      </w:pPr>
      <w:r>
        <w:rPr>
          <w:rFonts w:ascii="Calibri" w:cs="Calibri" w:eastAsia="Calibri" w:hAnsi="Calibri"/>
          <w:b/>
          <w:bCs/>
          <w:color w:val="0B2447"/>
          <w:sz w:val="20"/>
          <w:szCs w:val="20"/>
        </w:rPr>
        <w:t xml:space="preserve">Emphasize modules:  </w:t>
      </w:r>
      <w:r>
        <w:rPr>
          <w:rFonts w:ascii="Calibri" w:cs="Calibri" w:eastAsia="Calibri" w:hAnsi="Calibri"/>
          <w:color w:val="1D6FE0"/>
          <w:sz w:val="20"/>
          <w:szCs w:val="20"/>
        </w:rPr>
        <w:t xml:space="preserve">01 · 16 · 02 · 07 · 04 · 12 · 14 · 03 · 11 · 09 · 10 · 23</w:t>
      </w:r>
    </w:p>
    <w:p>
      <w:r>
        <w:br w:type="page"/>
      </w:r>
    </w:p>
    <w:p>
      <w:pPr>
        <w:spacing w:after="40" w:before="260"/>
      </w:pPr>
      <w:r>
        <w:rPr>
          <w:rFonts w:ascii="Calibri" w:cs="Calibri" w:eastAsia="Calibri" w:hAnsi="Calibri"/>
          <w:b/>
          <w:bCs/>
          <w:color w:val="1D6FE0"/>
          <w:spacing w:val="30"/>
          <w:sz w:val="17"/>
          <w:szCs w:val="17"/>
        </w:rPr>
        <w:t xml:space="preserve">PART 3 — TRACK B</w:t>
      </w:r>
    </w:p>
    <w:p>
      <w:pPr>
        <w:spacing w:after="120"/>
      </w:pPr>
      <w:r>
        <w:rPr>
          <w:rFonts w:ascii="Calibri" w:cs="Calibri" w:eastAsia="Calibri" w:hAnsi="Calibri"/>
          <w:b/>
          <w:bCs/>
          <w:color w:val="0B2447"/>
          <w:sz w:val="30"/>
          <w:szCs w:val="30"/>
        </w:rPr>
        <w:t xml:space="preserve">Government / MDB (buyer) demo</w:t>
      </w:r>
    </w:p>
    <w:p>
      <w:pPr>
        <w:spacing w:after="100"/>
      </w:pPr>
      <w:r>
        <w:rPr>
          <w:rFonts w:ascii="Calibri" w:cs="Calibri" w:eastAsia="Calibri" w:hAnsi="Calibri"/>
          <w:color w:val="5A6B82"/>
          <w:sz w:val="20"/>
          <w:szCs w:val="20"/>
        </w:rPr>
        <w:t xml:space="preserve">For ministries, procurement authorities, development banks and donor agencies that publish tenders and evaluate bids.</w:t>
      </w:r>
    </w:p>
    <w:p>
      <w:pPr>
        <w:spacing w:after="100"/>
      </w:pPr>
      <w:r>
        <w:rPr>
          <w:rFonts w:ascii="Calibri" w:cs="Calibri" w:eastAsia="Calibri" w:hAnsi="Calibri"/>
          <w:b/>
          <w:bCs/>
          <w:color w:val="0B2447"/>
          <w:sz w:val="21"/>
          <w:szCs w:val="21"/>
        </w:rPr>
        <w:t xml:space="preserve">Framing:  </w:t>
      </w:r>
      <w:r>
        <w:rPr>
          <w:rFonts w:ascii="Calibri" w:cs="Calibri" w:eastAsia="Calibri" w:hAnsi="Calibri"/>
          <w:color w:val="1A2436"/>
          <w:sz w:val="21"/>
          <w:szCs w:val="21"/>
        </w:rPr>
        <w:t xml:space="preserve">For buyers, The Connect is the workspace to run procurement to World Bank / IADB standard. Lead with compliance, auditability and portfolio oversight.</w:t>
      </w:r>
    </w:p>
    <w:p>
      <w:pPr>
        <w:spacing w:after="100"/>
      </w:pPr>
      <w:r>
        <w:rPr>
          <w:rFonts w:ascii="Calibri" w:cs="Calibri" w:eastAsia="Calibri" w:hAnsi="Calibri"/>
          <w:b/>
          <w:bCs/>
          <w:color w:val="0B2447"/>
          <w:sz w:val="21"/>
          <w:szCs w:val="21"/>
        </w:rPr>
        <w:t xml:space="preserve">Narrative:  </w:t>
      </w:r>
      <w:r>
        <w:rPr>
          <w:rFonts w:ascii="Calibri" w:cs="Calibri" w:eastAsia="Calibri" w:hAnsi="Calibri"/>
          <w:i/>
          <w:iCs/>
          <w:color w:val="1A2436"/>
          <w:sz w:val="21"/>
          <w:szCs w:val="21"/>
        </w:rPr>
        <w:t xml:space="preserve">Publish a compliant tender → receive structured bids → evaluate defensibly → screen sanctions → watch delivery.</w:t>
      </w:r>
    </w:p>
    <w:p>
      <w:pPr>
        <w:spacing w:after="90"/>
      </w:pPr>
      <w:r>
        <w:rPr>
          <w:rFonts w:ascii="Calibri" w:cs="Calibri" w:eastAsia="Calibri" w:hAnsi="Calibri"/>
          <w:b/>
          <w:bCs/>
          <w:color w:val="1D6FE0"/>
          <w:sz w:val="21"/>
          <w:szCs w:val="21"/>
        </w:rPr>
        <w:t xml:space="preserve">1.  </w:t>
      </w:r>
      <w:r>
        <w:rPr>
          <w:rFonts w:ascii="Calibri" w:cs="Calibri" w:eastAsia="Calibri" w:hAnsi="Calibri"/>
          <w:b/>
          <w:bCs/>
          <w:color w:val="1A2436"/>
          <w:sz w:val="21"/>
          <w:szCs w:val="21"/>
        </w:rPr>
        <w:t xml:space="preserve">Start on the public site — </w:t>
      </w:r>
      <w:r>
        <w:rPr>
          <w:rFonts w:ascii="Calibri" w:cs="Calibri" w:eastAsia="Calibri" w:hAnsi="Calibri"/>
          <w:color w:val="1A2436"/>
          <w:sz w:val="21"/>
          <w:szCs w:val="21"/>
        </w:rPr>
        <w:t xml:space="preserve">Overview + “The Join,” then Login with the Government/MDB account. Note the buyer-shaped nav (My Notices, not an opportunity feed).</w:t>
      </w:r>
    </w:p>
    <w:p>
      <w:pPr>
        <w:spacing w:after="90"/>
      </w:pPr>
      <w:r>
        <w:rPr>
          <w:rFonts w:ascii="Calibri" w:cs="Calibri" w:eastAsia="Calibri" w:hAnsi="Calibri"/>
          <w:b/>
          <w:bCs/>
          <w:color w:val="1D6FE0"/>
          <w:sz w:val="21"/>
          <w:szCs w:val="21"/>
        </w:rPr>
        <w:t xml:space="preserve">2.  </w:t>
      </w:r>
      <w:r>
        <w:rPr>
          <w:rFonts w:ascii="Calibri" w:cs="Calibri" w:eastAsia="Calibri" w:hAnsi="Calibri"/>
          <w:b/>
          <w:bCs/>
          <w:color w:val="1A2436"/>
          <w:sz w:val="21"/>
          <w:szCs w:val="21"/>
        </w:rPr>
        <w:t xml:space="preserve">Government Command Center (22) — </w:t>
      </w:r>
      <w:r>
        <w:rPr>
          <w:rFonts w:ascii="Calibri" w:cs="Calibri" w:eastAsia="Calibri" w:hAnsi="Calibri"/>
          <w:color w:val="1A2436"/>
          <w:sz w:val="21"/>
          <w:szCs w:val="21"/>
        </w:rPr>
        <w:t xml:space="preserve">Portfolio disbursement, active notices, bids received, single-bidder risk, and integrity flags on your own tenders.</w:t>
      </w:r>
    </w:p>
    <w:p>
      <w:pPr>
        <w:spacing w:after="90"/>
      </w:pPr>
      <w:r>
        <w:rPr>
          <w:rFonts w:ascii="Calibri" w:cs="Calibri" w:eastAsia="Calibri" w:hAnsi="Calibri"/>
          <w:b/>
          <w:bCs/>
          <w:color w:val="1D6FE0"/>
          <w:sz w:val="21"/>
          <w:szCs w:val="21"/>
        </w:rPr>
        <w:t xml:space="preserve">3.  </w:t>
      </w:r>
      <w:r>
        <w:rPr>
          <w:rFonts w:ascii="Calibri" w:cs="Calibri" w:eastAsia="Calibri" w:hAnsi="Calibri"/>
          <w:b/>
          <w:bCs/>
          <w:color w:val="1A2436"/>
          <w:sz w:val="21"/>
          <w:szCs w:val="21"/>
        </w:rPr>
        <w:t xml:space="preserve">Publish a compliant tender (18) — </w:t>
      </w:r>
      <w:r>
        <w:rPr>
          <w:rFonts w:ascii="Calibri" w:cs="Calibri" w:eastAsia="Calibri" w:hAnsi="Calibri"/>
          <w:color w:val="1A2436"/>
          <w:sz w:val="21"/>
          <w:szCs w:val="21"/>
        </w:rPr>
        <w:t xml:space="preserve">Pick a WB / IADB template; the form pre-fills weighted criteria, qualification thresholds, eligibility, beneficial ownership and the F&amp;C clause.</w:t>
      </w:r>
    </w:p>
    <w:p>
      <w:pPr>
        <w:spacing w:after="90"/>
      </w:pPr>
      <w:r>
        <w:rPr>
          <w:rFonts w:ascii="Calibri" w:cs="Calibri" w:eastAsia="Calibri" w:hAnsi="Calibri"/>
          <w:b/>
          <w:bCs/>
          <w:color w:val="1D6FE0"/>
          <w:sz w:val="21"/>
          <w:szCs w:val="21"/>
        </w:rPr>
        <w:t xml:space="preserve">4.  </w:t>
      </w:r>
      <w:r>
        <w:rPr>
          <w:rFonts w:ascii="Calibri" w:cs="Calibri" w:eastAsia="Calibri" w:hAnsi="Calibri"/>
          <w:b/>
          <w:bCs/>
          <w:color w:val="1A2436"/>
          <w:sz w:val="21"/>
          <w:szCs w:val="21"/>
        </w:rPr>
        <w:t xml:space="preserve">Receive structured bids (19, 21) — </w:t>
      </w:r>
      <w:r>
        <w:rPr>
          <w:rFonts w:ascii="Calibri" w:cs="Calibri" w:eastAsia="Calibri" w:hAnsi="Calibri"/>
          <w:color w:val="1A2436"/>
          <w:sz w:val="21"/>
          <w:szCs w:val="21"/>
        </w:rPr>
        <w:t xml:space="preserve">Bidders respond in the required forms. The Compliance Matrix flags missing mandatory forms; beneficial ownership is captured per firm.</w:t>
      </w:r>
    </w:p>
    <w:p>
      <w:pPr>
        <w:spacing w:after="90"/>
      </w:pPr>
      <w:r>
        <w:rPr>
          <w:rFonts w:ascii="Calibri" w:cs="Calibri" w:eastAsia="Calibri" w:hAnsi="Calibri"/>
          <w:b/>
          <w:bCs/>
          <w:color w:val="1D6FE0"/>
          <w:sz w:val="21"/>
          <w:szCs w:val="21"/>
        </w:rPr>
        <w:t xml:space="preserve">5.  </w:t>
      </w:r>
      <w:r>
        <w:rPr>
          <w:rFonts w:ascii="Calibri" w:cs="Calibri" w:eastAsia="Calibri" w:hAnsi="Calibri"/>
          <w:b/>
          <w:bCs/>
          <w:color w:val="1A2436"/>
          <w:sz w:val="21"/>
          <w:szCs w:val="21"/>
        </w:rPr>
        <w:t xml:space="preserve">Evaluate defensibly (13, 19) — </w:t>
      </w:r>
      <w:r>
        <w:rPr>
          <w:rFonts w:ascii="Calibri" w:cs="Calibri" w:eastAsia="Calibri" w:hAnsi="Calibri"/>
          <w:color w:val="1A2436"/>
          <w:sz w:val="21"/>
          <w:szCs w:val="21"/>
        </w:rPr>
        <w:t xml:space="preserve">AI Bid Evaluation scores each submission; the ranked, auditable scoresheet reasons per published criterion — defensible against protest.</w:t>
      </w:r>
    </w:p>
    <w:p>
      <w:pPr>
        <w:spacing w:after="90"/>
      </w:pPr>
      <w:r>
        <w:rPr>
          <w:rFonts w:ascii="Calibri" w:cs="Calibri" w:eastAsia="Calibri" w:hAnsi="Calibri"/>
          <w:b/>
          <w:bCs/>
          <w:color w:val="1D6FE0"/>
          <w:sz w:val="21"/>
          <w:szCs w:val="21"/>
        </w:rPr>
        <w:t xml:space="preserve">6.  </w:t>
      </w:r>
      <w:r>
        <w:rPr>
          <w:rFonts w:ascii="Calibri" w:cs="Calibri" w:eastAsia="Calibri" w:hAnsi="Calibri"/>
          <w:b/>
          <w:bCs/>
          <w:color w:val="1A2436"/>
          <w:sz w:val="21"/>
          <w:szCs w:val="21"/>
        </w:rPr>
        <w:t xml:space="preserve">Screen for sanctions (20) — </w:t>
      </w:r>
      <w:r>
        <w:rPr>
          <w:rFonts w:ascii="Calibri" w:cs="Calibri" w:eastAsia="Calibri" w:hAnsi="Calibri"/>
          <w:color w:val="1A2436"/>
          <w:sz w:val="21"/>
          <w:szCs w:val="21"/>
        </w:rPr>
        <w:t xml:space="preserve">Bidders &amp; beneficial owners vs OFAC, the UN Security Council list, UK OFSI and World Bank cross-debarment, with a timestamped audit trail.</w:t>
      </w:r>
    </w:p>
    <w:p>
      <w:pPr>
        <w:spacing w:after="90"/>
      </w:pPr>
      <w:r>
        <w:rPr>
          <w:rFonts w:ascii="Calibri" w:cs="Calibri" w:eastAsia="Calibri" w:hAnsi="Calibri"/>
          <w:b/>
          <w:bCs/>
          <w:color w:val="1D6FE0"/>
          <w:sz w:val="21"/>
          <w:szCs w:val="21"/>
        </w:rPr>
        <w:t xml:space="preserve">7.  </w:t>
      </w:r>
      <w:r>
        <w:rPr>
          <w:rFonts w:ascii="Calibri" w:cs="Calibri" w:eastAsia="Calibri" w:hAnsi="Calibri"/>
          <w:b/>
          <w:bCs/>
          <w:color w:val="1A2436"/>
          <w:sz w:val="21"/>
          <w:szCs w:val="21"/>
        </w:rPr>
        <w:t xml:space="preserve">Watch delivery (15, 22) — </w:t>
      </w:r>
      <w:r>
        <w:rPr>
          <w:rFonts w:ascii="Calibri" w:cs="Calibri" w:eastAsia="Calibri" w:hAnsi="Calibri"/>
          <w:color w:val="1A2436"/>
          <w:sz w:val="21"/>
          <w:szCs w:val="21"/>
        </w:rPr>
        <w:t xml:space="preserve">Delivery Truth: promised vs paid vs timeline, stalled projects flagged. Back to the Command Center for portfolio oversight.</w:t>
      </w:r>
    </w:p>
    <w:p>
      <w:pPr>
        <w:spacing w:after="90"/>
      </w:pPr>
      <w:r>
        <w:rPr>
          <w:rFonts w:ascii="Calibri" w:cs="Calibri" w:eastAsia="Calibri" w:hAnsi="Calibri"/>
          <w:b/>
          <w:bCs/>
          <w:color w:val="1D6FE0"/>
          <w:sz w:val="21"/>
          <w:szCs w:val="21"/>
        </w:rPr>
        <w:t xml:space="preserve">8.  </w:t>
      </w:r>
      <w:r>
        <w:rPr>
          <w:rFonts w:ascii="Calibri" w:cs="Calibri" w:eastAsia="Calibri" w:hAnsi="Calibri"/>
          <w:b/>
          <w:bCs/>
          <w:color w:val="1A2436"/>
          <w:sz w:val="21"/>
          <w:szCs w:val="21"/>
        </w:rPr>
        <w:t xml:space="preserve">Official page &amp; extras (08, 17) — </w:t>
      </w:r>
      <w:r>
        <w:rPr>
          <w:rFonts w:ascii="Calibri" w:cs="Calibri" w:eastAsia="Calibri" w:hAnsi="Calibri"/>
          <w:color w:val="1A2436"/>
          <w:sz w:val="21"/>
          <w:szCs w:val="21"/>
        </w:rPr>
        <w:t xml:space="preserve">The official institution page and, where relevant, OSINT &amp; political-risk monitoring.</w:t>
      </w:r>
    </w:p>
    <w:p>
      <w:pPr>
        <w:spacing w:after="90"/>
      </w:pPr>
      <w:r>
        <w:rPr>
          <w:rFonts w:ascii="Calibri" w:cs="Calibri" w:eastAsia="Calibri" w:hAnsi="Calibri"/>
          <w:b/>
          <w:bCs/>
          <w:color w:val="1D6FE0"/>
          <w:sz w:val="21"/>
          <w:szCs w:val="21"/>
        </w:rPr>
        <w:t xml:space="preserve">9.  </w:t>
      </w:r>
      <w:r>
        <w:rPr>
          <w:rFonts w:ascii="Calibri" w:cs="Calibri" w:eastAsia="Calibri" w:hAnsi="Calibri"/>
          <w:b/>
          <w:bCs/>
          <w:color w:val="1A2436"/>
          <w:sz w:val="21"/>
          <w:szCs w:val="21"/>
        </w:rPr>
        <w:t xml:space="preserve">Close — </w:t>
      </w:r>
      <w:r>
        <w:rPr>
          <w:rFonts w:ascii="Calibri" w:cs="Calibri" w:eastAsia="Calibri" w:hAnsi="Calibri"/>
          <w:color w:val="1A2436"/>
          <w:sz w:val="21"/>
          <w:szCs w:val="21"/>
        </w:rPr>
        <w:t xml:space="preserve">Recap; Government/MDB = $595 per seat / year, 60-day free trial, per-seat (add/remove any time).</w:t>
      </w:r>
    </w:p>
    <w:p>
      <w:pPr>
        <w:spacing w:after="100"/>
      </w:pPr>
      <w:r>
        <w:rPr>
          <w:rFonts w:ascii="Calibri" w:cs="Calibri" w:eastAsia="Calibri" w:hAnsi="Calibri"/>
          <w:b/>
          <w:bCs/>
          <w:color w:val="0B2447"/>
          <w:sz w:val="20"/>
          <w:szCs w:val="20"/>
        </w:rPr>
        <w:t xml:space="preserve">Emphasize modules:  </w:t>
      </w:r>
      <w:r>
        <w:rPr>
          <w:rFonts w:ascii="Calibri" w:cs="Calibri" w:eastAsia="Calibri" w:hAnsi="Calibri"/>
          <w:color w:val="1D6FE0"/>
          <w:sz w:val="20"/>
          <w:szCs w:val="20"/>
        </w:rPr>
        <w:t xml:space="preserve">22 · 18 · 19 · 21 · 13 · 20 · 15 · 08 · 17</w:t>
      </w:r>
    </w:p>
    <w:p>
      <w:r>
        <w:br w:type="page"/>
      </w:r>
    </w:p>
    <w:p>
      <w:pPr>
        <w:spacing w:after="40" w:before="260"/>
      </w:pPr>
      <w:r>
        <w:rPr>
          <w:rFonts w:ascii="Calibri" w:cs="Calibri" w:eastAsia="Calibri" w:hAnsi="Calibri"/>
          <w:b/>
          <w:bCs/>
          <w:color w:val="1D6FE0"/>
          <w:spacing w:val="30"/>
          <w:sz w:val="17"/>
          <w:szCs w:val="17"/>
        </w:rPr>
        <w:t xml:space="preserve">APPENDIX</w:t>
      </w:r>
    </w:p>
    <w:p>
      <w:pPr>
        <w:spacing w:after="120"/>
      </w:pPr>
      <w:r>
        <w:rPr>
          <w:rFonts w:ascii="Calibri" w:cs="Calibri" w:eastAsia="Calibri" w:hAnsi="Calibri"/>
          <w:b/>
          <w:bCs/>
          <w:color w:val="0B2447"/>
          <w:sz w:val="30"/>
          <w:szCs w:val="30"/>
        </w:rPr>
        <w:t xml:space="preserve">Objection answers</w:t>
      </w:r>
    </w:p>
    <w:p>
      <w:pPr>
        <w:spacing w:after="60" w:before="160"/>
      </w:pPr>
      <w:r>
        <w:rPr>
          <w:rFonts w:ascii="Calibri" w:cs="Calibri" w:eastAsia="Calibri" w:hAnsi="Calibri"/>
          <w:b/>
          <w:bCs/>
          <w:color w:val="0B2447"/>
          <w:sz w:val="22"/>
          <w:szCs w:val="22"/>
        </w:rPr>
        <w:t xml:space="preserve">Where does the data come from?</w:t>
      </w:r>
    </w:p>
    <w:p>
      <w:pPr>
        <w:spacing w:after="100"/>
      </w:pPr>
      <w:r>
        <w:rPr>
          <w:rFonts w:ascii="Calibri" w:cs="Calibri" w:eastAsia="Calibri" w:hAnsi="Calibri"/>
          <w:color w:val="1A2436"/>
          <w:sz w:val="21"/>
          <w:szCs w:val="21"/>
        </w:rPr>
        <w:t xml:space="preserve">60+ authoritative official &amp; licensed sources — World Bank, AfDB, ADB, EBRD, IDB, AIIB, UNGM, EU TED, IMF, BIS, ECB, OFAC and national portals. Every record is source-attributed and confidence-scored.</w:t>
      </w:r>
    </w:p>
    <w:p>
      <w:pPr>
        <w:spacing w:after="60" w:before="160"/>
      </w:pPr>
      <w:r>
        <w:rPr>
          <w:rFonts w:ascii="Calibri" w:cs="Calibri" w:eastAsia="Calibri" w:hAnsi="Calibri"/>
          <w:b/>
          <w:bCs/>
          <w:color w:val="0B2447"/>
          <w:sz w:val="22"/>
          <w:szCs w:val="22"/>
        </w:rPr>
        <w:t xml:space="preserve">How current is it?</w:t>
      </w:r>
    </w:p>
    <w:p>
      <w:pPr>
        <w:spacing w:after="100"/>
      </w:pPr>
      <w:r>
        <w:rPr>
          <w:rFonts w:ascii="Calibri" w:cs="Calibri" w:eastAsia="Calibri" w:hAnsi="Calibri"/>
          <w:color w:val="1A2436"/>
          <w:sz w:val="21"/>
          <w:szCs w:val="21"/>
        </w:rPr>
        <w:t xml:space="preserve">Tenders, yields, policy rates and ministry signals refresh continuously; sovereign macro syncs daily from the World Bank, IMF and ECB.</w:t>
      </w:r>
    </w:p>
    <w:p>
      <w:pPr>
        <w:spacing w:after="60" w:before="160"/>
      </w:pPr>
      <w:r>
        <w:rPr>
          <w:rFonts w:ascii="Calibri" w:cs="Calibri" w:eastAsia="Calibri" w:hAnsi="Calibri"/>
          <w:b/>
          <w:bCs/>
          <w:color w:val="0B2447"/>
          <w:sz w:val="22"/>
          <w:szCs w:val="22"/>
        </w:rPr>
        <w:t xml:space="preserve">What makes it different from a terminal?</w:t>
      </w:r>
    </w:p>
    <w:p>
      <w:pPr>
        <w:spacing w:after="100"/>
      </w:pPr>
      <w:r>
        <w:rPr>
          <w:rFonts w:ascii="Calibri" w:cs="Calibri" w:eastAsia="Calibri" w:hAnsi="Calibri"/>
          <w:color w:val="1A2436"/>
          <w:sz w:val="21"/>
          <w:szCs w:val="21"/>
        </w:rPr>
        <w:t xml:space="preserve">The Join. We link capital flows, procurement, and sovereign &amp; payment risk into one record — win-odds and get-paid on a single screen.</w:t>
      </w:r>
    </w:p>
    <w:p>
      <w:pPr>
        <w:spacing w:after="60" w:before="160"/>
      </w:pPr>
      <w:r>
        <w:rPr>
          <w:rFonts w:ascii="Calibri" w:cs="Calibri" w:eastAsia="Calibri" w:hAnsi="Calibri"/>
          <w:b/>
          <w:bCs/>
          <w:color w:val="0B2447"/>
          <w:sz w:val="22"/>
          <w:szCs w:val="22"/>
        </w:rPr>
        <w:t xml:space="preserve">Is my data secure? What about the AI?</w:t>
      </w:r>
    </w:p>
    <w:p>
      <w:pPr>
        <w:spacing w:after="100"/>
      </w:pPr>
      <w:r>
        <w:rPr>
          <w:rFonts w:ascii="Calibri" w:cs="Calibri" w:eastAsia="Calibri" w:hAnsi="Calibri"/>
          <w:color w:val="1A2436"/>
          <w:sz w:val="21"/>
          <w:szCs w:val="21"/>
        </w:rPr>
        <w:t xml:space="preserve">Single-tenant auth, one active session per account, role-based access. AI is bring-your-own-key — the key lives only in your browser and is never stored on CEFA servers.</w:t>
      </w:r>
    </w:p>
    <w:p>
      <w:pPr>
        <w:spacing w:after="60" w:before="160"/>
      </w:pPr>
      <w:r>
        <w:rPr>
          <w:rFonts w:ascii="Calibri" w:cs="Calibri" w:eastAsia="Calibri" w:hAnsi="Calibri"/>
          <w:b/>
          <w:bCs/>
          <w:color w:val="0B2447"/>
          <w:sz w:val="22"/>
          <w:szCs w:val="22"/>
        </w:rPr>
        <w:t xml:space="preserve">How does the free trial work?</w:t>
      </w:r>
    </w:p>
    <w:p>
      <w:pPr>
        <w:spacing w:after="100"/>
      </w:pPr>
      <w:r>
        <w:rPr>
          <w:rFonts w:ascii="Calibri" w:cs="Calibri" w:eastAsia="Calibri" w:hAnsi="Calibri"/>
          <w:color w:val="1A2436"/>
          <w:sz w:val="21"/>
          <w:szCs w:val="21"/>
        </w:rPr>
        <w:t xml:space="preserve">Create an account and add a card to start. Trials run 7 days (Individual, Corporate) or 60 days (Government/MDB); billed annually only after the trial ends. Cancel any time.</w:t>
      </w:r>
    </w:p>
    <w:p>
      <w:pPr>
        <w:spacing w:after="60" w:before="160"/>
      </w:pPr>
      <w:r>
        <w:rPr>
          <w:rFonts w:ascii="Calibri" w:cs="Calibri" w:eastAsia="Calibri" w:hAnsi="Calibri"/>
          <w:b/>
          <w:bCs/>
          <w:color w:val="0B2447"/>
          <w:sz w:val="22"/>
          <w:szCs w:val="22"/>
        </w:rPr>
        <w:t xml:space="preserve">Referral note (optional mention)</w:t>
      </w:r>
    </w:p>
    <w:p>
      <w:pPr>
        <w:spacing w:after="100"/>
      </w:pPr>
      <w:r>
        <w:rPr>
          <w:rFonts w:ascii="Calibri" w:cs="Calibri" w:eastAsia="Calibri" w:hAnsi="Calibri"/>
          <w:color w:val="1A2436"/>
          <w:sz w:val="21"/>
          <w:szCs w:val="21"/>
        </w:rPr>
        <w:t xml:space="preserve">Anyone can refer The Connect and earn $175–$250 in cash per referral that becomes a paying member — no subscription needed to join. Government/MDB referrals are excluded from cash rewards for anti-bribery reasons.</w:t>
      </w:r>
    </w:p>
    <w:p>
      <w:pPr>
        <w:spacing w:after="40" w:before="260"/>
      </w:pPr>
      <w:r>
        <w:rPr>
          <w:rFonts w:ascii="Calibri" w:cs="Calibri" w:eastAsia="Calibri" w:hAnsi="Calibri"/>
          <w:b/>
          <w:bCs/>
          <w:color w:val="1D6FE0"/>
          <w:spacing w:val="30"/>
          <w:sz w:val="17"/>
          <w:szCs w:val="17"/>
        </w:rPr>
        <w:t xml:space="preserve">CHEAT SHEET</w:t>
      </w:r>
    </w:p>
    <w:p>
      <w:pPr>
        <w:spacing w:after="120"/>
      </w:pPr>
      <w:r>
        <w:rPr>
          <w:rFonts w:ascii="Calibri" w:cs="Calibri" w:eastAsia="Calibri" w:hAnsi="Calibri"/>
          <w:b/>
          <w:bCs/>
          <w:color w:val="0B2447"/>
          <w:sz w:val="30"/>
          <w:szCs w:val="30"/>
        </w:rPr>
        <w:t xml:space="preserve">One-line demo scripts</w:t>
      </w:r>
    </w:p>
    <w:p>
      <w:pPr>
        <w:pStyle w:val="ListParagraph"/>
        <w:numPr>
          <w:ilvl w:val="0"/>
          <w:numId w:val="1"/>
        </w:numPr>
        <w:spacing w:after="60"/>
      </w:pPr>
      <w:r>
        <w:rPr>
          <w:rFonts w:ascii="Calibri" w:cs="Calibri" w:eastAsia="Calibri" w:hAnsi="Calibri"/>
          <w:b/>
          <w:bCs/>
          <w:color w:val="1A2436"/>
          <w:sz w:val="21"/>
          <w:szCs w:val="21"/>
        </w:rPr>
        <w:t xml:space="preserve">Open: </w:t>
      </w:r>
      <w:r>
        <w:rPr>
          <w:rFonts w:ascii="Calibri" w:cs="Calibri" w:eastAsia="Calibri" w:hAnsi="Calibri"/>
          <w:color w:val="1A2436"/>
          <w:sz w:val="21"/>
          <w:szCs w:val="21"/>
        </w:rPr>
        <w:t xml:space="preserve">The Connect follows public money from approval → tender → winner → delivery, on one governed screen instead of a dozen portals.</w:t>
      </w:r>
    </w:p>
    <w:p>
      <w:pPr>
        <w:pStyle w:val="ListParagraph"/>
        <w:numPr>
          <w:ilvl w:val="0"/>
          <w:numId w:val="1"/>
        </w:numPr>
        <w:spacing w:after="60"/>
      </w:pPr>
      <w:r>
        <w:rPr>
          <w:rFonts w:ascii="Calibri" w:cs="Calibri" w:eastAsia="Calibri" w:hAnsi="Calibri"/>
          <w:b/>
          <w:bCs/>
          <w:color w:val="1A2436"/>
          <w:sz w:val="21"/>
          <w:szCs w:val="21"/>
        </w:rPr>
        <w:t xml:space="preserve">The Join: </w:t>
      </w:r>
      <w:r>
        <w:rPr>
          <w:rFonts w:ascii="Calibri" w:cs="Calibri" w:eastAsia="Calibri" w:hAnsi="Calibri"/>
          <w:color w:val="1A2436"/>
          <w:sz w:val="21"/>
          <w:szCs w:val="21"/>
        </w:rPr>
        <w:t xml:space="preserve">Others tell you a tender exists. We tell you if it's clean, if you'll win it, and if you'll get paid.</w:t>
      </w:r>
    </w:p>
    <w:p>
      <w:pPr>
        <w:pStyle w:val="ListParagraph"/>
        <w:numPr>
          <w:ilvl w:val="0"/>
          <w:numId w:val="1"/>
        </w:numPr>
        <w:spacing w:after="60"/>
      </w:pPr>
      <w:r>
        <w:rPr>
          <w:rFonts w:ascii="Calibri" w:cs="Calibri" w:eastAsia="Calibri" w:hAnsi="Calibri"/>
          <w:b/>
          <w:bCs/>
          <w:color w:val="1A2436"/>
          <w:sz w:val="21"/>
          <w:szCs w:val="21"/>
        </w:rPr>
        <w:t xml:space="preserve">Corporate close: </w:t>
      </w:r>
      <w:r>
        <w:rPr>
          <w:rFonts w:ascii="Calibri" w:cs="Calibri" w:eastAsia="Calibri" w:hAnsi="Calibri"/>
          <w:color w:val="1A2436"/>
          <w:sz w:val="21"/>
          <w:szCs w:val="21"/>
        </w:rPr>
        <w:t xml:space="preserve">Found it, priced the risk, drafted the bid, tracked the competition — one platform.</w:t>
      </w:r>
    </w:p>
    <w:p>
      <w:pPr>
        <w:pStyle w:val="ListParagraph"/>
        <w:numPr>
          <w:ilvl w:val="0"/>
          <w:numId w:val="1"/>
        </w:numPr>
        <w:spacing w:after="60"/>
      </w:pPr>
      <w:r>
        <w:rPr>
          <w:rFonts w:ascii="Calibri" w:cs="Calibri" w:eastAsia="Calibri" w:hAnsi="Calibri"/>
          <w:b/>
          <w:bCs/>
          <w:color w:val="1A2436"/>
          <w:sz w:val="21"/>
          <w:szCs w:val="21"/>
        </w:rPr>
        <w:t xml:space="preserve">Government close: </w:t>
      </w:r>
      <w:r>
        <w:rPr>
          <w:rFonts w:ascii="Calibri" w:cs="Calibri" w:eastAsia="Calibri" w:hAnsi="Calibri"/>
          <w:color w:val="1A2436"/>
          <w:sz w:val="21"/>
          <w:szCs w:val="21"/>
        </w:rPr>
        <w:t xml:space="preserve">Publish to World Bank standard, evaluate defensibly, screen for sanctions, watch delivery — auditable end to end.</w:t>
      </w:r>
    </w:p>
    <w:p>
      <w:pPr>
        <w:spacing w:before="300"/>
        <w:jc w:val="center"/>
      </w:pPr>
      <w:r>
        <w:rPr>
          <w:rFonts w:ascii="Calibri" w:cs="Calibri" w:eastAsia="Calibri" w:hAnsi="Calibri"/>
          <w:color w:val="5A6B82"/>
          <w:sz w:val="18"/>
          <w:szCs w:val="18"/>
        </w:rPr>
        <w:t xml:space="preserve">Prepared for CEFA · The Connect — connect.thecefa.org</w:t>
      </w:r>
    </w:p>
    <w:sectPr>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Connect — Demo Brochure</dc:title>
  <dc:creator>CEFA — The Connect</dc:creator>
  <dc:description>Demo walkthrough guide for The Connect platform.</dc:description>
  <cp:lastModifiedBy>Un-named</cp:lastModifiedBy>
  <cp:revision>1</cp:revision>
  <dcterms:created xsi:type="dcterms:W3CDTF">2026-07-10T23:50:43.909Z</dcterms:created>
  <dcterms:modified xsi:type="dcterms:W3CDTF">2026-07-10T23:50:43.910Z</dcterms:modified>
</cp:coreProperties>
</file>

<file path=docProps/custom.xml><?xml version="1.0" encoding="utf-8"?>
<Properties xmlns="http://schemas.openxmlformats.org/officeDocument/2006/custom-properties" xmlns:vt="http://schemas.openxmlformats.org/officeDocument/2006/docPropsVTypes"/>
</file>